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C" w:rsidRDefault="005D784C" w:rsidP="005D78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сводного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отчета об </w:t>
      </w:r>
      <w:r w:rsidR="00766E91">
        <w:rPr>
          <w:rFonts w:ascii="Times New Roman" w:hAnsi="Times New Roman"/>
          <w:b/>
          <w:sz w:val="28"/>
          <w:szCs w:val="28"/>
        </w:rPr>
        <w:t>экспертизе</w:t>
      </w:r>
      <w:r w:rsidRPr="009B1B6B">
        <w:rPr>
          <w:rFonts w:ascii="Times New Roman" w:hAnsi="Times New Roman"/>
          <w:b/>
          <w:sz w:val="28"/>
          <w:szCs w:val="28"/>
        </w:rPr>
        <w:t xml:space="preserve"> 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9B1B6B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9B1B6B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   </w:t>
            </w:r>
            <w:r w:rsidR="001B0ED3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.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Cs w:val="28"/>
              </w:rPr>
              <w:t>присваивается</w:t>
            </w:r>
            <w:proofErr w:type="gramEnd"/>
            <w:r w:rsidRPr="009B1B6B">
              <w:rPr>
                <w:rFonts w:ascii="Times New Roman" w:hAnsi="Times New Roman"/>
                <w:i/>
                <w:szCs w:val="28"/>
              </w:rPr>
              <w:t xml:space="preserve"> регулирующим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304" w:type="dxa"/>
            <w:shd w:val="clear" w:color="auto" w:fill="auto"/>
          </w:tcPr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9B1B6B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: «</w:t>
            </w:r>
            <w:r w:rsidR="00E511F3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511F3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9B1B6B" w:rsidRDefault="005D784C" w:rsidP="00E511F3">
            <w:pPr>
              <w:rPr>
                <w:rFonts w:ascii="Times New Roman" w:hAnsi="Times New Roman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окончание: «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511F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511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1B6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E27EF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9B1B6B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органа администрации района)</w:t>
            </w:r>
          </w:p>
          <w:p w:rsidR="005D784C" w:rsidRPr="009B1B6B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</w:t>
            </w:r>
            <w:proofErr w:type="gramEnd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5D784C" w:rsidRPr="009B1B6B" w:rsidRDefault="00766E91" w:rsidP="005D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распоряжение</w:t>
            </w:r>
            <w:proofErr w:type="gramEnd"/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26.01.2015 № 77-р </w:t>
            </w:r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</w:t>
            </w:r>
            <w:r w:rsidR="00A9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регламента, обеспечивающего сопровождение инвестиционных проектов по принципу «одного окна» в администрации Ханты-Мансийского района</w:t>
            </w:r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A9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1.4. Основание для раз</w:t>
            </w:r>
            <w:bookmarkStart w:id="0" w:name="_GoBack"/>
            <w:bookmarkEnd w:id="0"/>
            <w:r w:rsidRPr="009B1B6B">
              <w:rPr>
                <w:rFonts w:ascii="Times New Roman" w:hAnsi="Times New Roman"/>
                <w:sz w:val="24"/>
                <w:szCs w:val="24"/>
              </w:rPr>
              <w:t xml:space="preserve">работки проекта муниципального нормативного правового акта: </w:t>
            </w:r>
          </w:p>
          <w:p w:rsidR="005D784C" w:rsidRPr="009B1B6B" w:rsidRDefault="00A93A01" w:rsidP="005D78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закон от 06.10.2003 №131-ФЗ «Об общих принципах организации местного самоуправления в Российской Федерации», пункт 2 постановления Правительства ХМАО-Югры </w:t>
            </w:r>
            <w:r w:rsidR="00C1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27.12.2013 №590-п «О регламенте по сопровождению инвестиционных проектов в Ханты-Мансийском автономном округе-Югре»._________________________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89092F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Кузнецова Татьяна Владимировна________________________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5D784C" w:rsidRPr="009B1B6B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специалист-эксперт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комитета экономической политики администрации Ханты-Мансийского района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End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>3467) 35-28-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56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.</w:t>
            </w:r>
          </w:p>
          <w:p w:rsidR="005D784C" w:rsidRPr="009B1B6B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Адрес электронной </w:t>
            </w:r>
            <w:proofErr w:type="gramStart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почты: </w:t>
            </w:r>
            <w:r w:rsidR="00A51794" w:rsidRPr="009B1B6B">
              <w:rPr>
                <w:color w:val="auto"/>
              </w:rPr>
              <w:t xml:space="preserve"> </w:t>
            </w:r>
            <w:hyperlink r:id="rId6" w:history="1">
              <w:r w:rsidR="00FA7A52" w:rsidRPr="00B1098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OT</w:t>
              </w:r>
              <w:r w:rsidR="00FA7A52" w:rsidRPr="00B1098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@hmrn.ru</w:t>
              </w:r>
              <w:proofErr w:type="gramEnd"/>
            </w:hyperlink>
            <w:r w:rsidR="00A51794"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                                 .</w:t>
            </w:r>
          </w:p>
          <w:p w:rsidR="005D784C" w:rsidRPr="009B1B6B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1B6B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B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5D784C" w:rsidRPr="003720CD" w:rsidRDefault="00C1344B" w:rsidP="003720C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Регламент регулирует отношения, возникающие в ходе подготовки и реализации инвестиционных проектов на территории Ханты-Мансийского района, снижение административных барьеров, создания благоприятных условий для ведения предпринимательской и инвестиционной деятельности и реализации инвестиционных прое</w:t>
            </w:r>
            <w:r w:rsidR="009A626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ктов по принципу «одного окна</w:t>
            </w:r>
            <w:proofErr w:type="gramStart"/>
            <w:r w:rsidR="009A626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  <w:r w:rsidR="00F6103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="005D784C"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9B1B6B" w:rsidRDefault="00C1344B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Комплексный план мероприятий по обеспечению благоприятного инвестиционного климата на территории Ханты-Мансийского района, утвержденного распоряжением администрации Ханты-Мансийского района от 27.06.2014 №851-р (с изменениями на 03.09.2014 №1172-р)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61034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1C">
              <w:rPr>
                <w:rFonts w:ascii="Times New Roman" w:hAnsi="Times New Roman"/>
                <w:sz w:val="24"/>
                <w:szCs w:val="24"/>
              </w:rPr>
              <w:t>2.3.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B1541F" w:rsidRDefault="00DF6C0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уровне Ханты-Мансийского автономного округа – Югры </w:t>
            </w:r>
            <w:r w:rsidR="00F56A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принято </w:t>
            </w:r>
            <w:r w:rsidR="00C1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постановления Правительства ХМАО-Югры от 27.12.2013 №590-п «О регламенте по сопровождению инвестиционных проектов в Ханты-Мансийском автономном округе-Югре</w:t>
            </w:r>
            <w:proofErr w:type="gramStart"/>
            <w:r w:rsidR="00C1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720CD" w:rsidRDefault="00226287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г.Лангепаса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25.07.2016 №1288 «О регламенте по сопровождению инвестиционных проектов по принципу «одного ок</w:t>
            </w:r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на» в муниципальном </w:t>
            </w:r>
            <w:proofErr w:type="gramStart"/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>образовании;_</w:t>
            </w:r>
            <w:proofErr w:type="gramEnd"/>
            <w:r w:rsidR="003720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_________________________________________________ </w:t>
            </w:r>
          </w:p>
          <w:p w:rsidR="003720CD" w:rsidRDefault="003720CD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29.05.2014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18.06.2015) «Об утверждении регламента по сопровождению инвестиционных проектов на территории г.Мегион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»;_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3720CD" w:rsidRDefault="003720CD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г.Радужный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01.09.2016 №1242 «Об утверждении Порядка сопровождения инвестиционных проектов по принципу «одного окна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»;_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 </w:t>
            </w:r>
          </w:p>
          <w:p w:rsidR="003720CD" w:rsidRDefault="003720CD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г.Ханты-Мансийска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15.04.2016 №431 «Об утверждении Порядка сопровождения инвестиционных проектов по принципу «одного окна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  <w:r w:rsidR="00134DB0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 w:rsidR="00134DB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226287" w:rsidRDefault="00134DB0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28.10.2016 №2639 «Об утверждении Регламента сопровождения инвестиционных проектов по принципу «одного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окна»_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5D784C" w:rsidRPr="009B1B6B" w:rsidRDefault="005D784C" w:rsidP="00372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154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</w:t>
            </w: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Выявление рисков, связанных с существующей ситуацией:</w:t>
            </w:r>
          </w:p>
          <w:p w:rsidR="00F11509" w:rsidRDefault="00134DB0" w:rsidP="005E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данный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нормативный правовой акт регулирует отношения возникающие в ходе подготовки и реализации инвестиционных проектов на  территории Ханты-Мансийского района. </w:t>
            </w:r>
            <w:r w:rsidR="00F1150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Отсутствие нормативно-правового закрепления порядка сопровождения инвестиционных проектов по принципу «одного окна» на уровне муниципального района влечет к:</w:t>
            </w:r>
          </w:p>
          <w:p w:rsidR="00F11509" w:rsidRDefault="00F11509" w:rsidP="005E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-неподконтрольному увеличению сроков рассмотрения обращений инвесторов, поступивших в органы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самоуправления;_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______________________________</w:t>
            </w:r>
          </w:p>
          <w:p w:rsidR="005D784C" w:rsidRPr="00F11509" w:rsidRDefault="00F11509" w:rsidP="005E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-отсутствие инвестиционной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активности._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____________________________________ </w:t>
            </w:r>
          </w:p>
          <w:p w:rsidR="005D784C" w:rsidRPr="00B1541F" w:rsidRDefault="005D784C" w:rsidP="005E5F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150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11509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F11509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9B1B6B" w:rsidRDefault="00802952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</w:t>
            </w:r>
            <w:r w:rsidR="00F11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нормативных правовых актах Ханты-Мансийского района регламентированного порядка оказания комплексной информационно-консультационной и организационной помощи субъектам инвестиционной деятельности от момента обращения в органы местного самоуправления до принятия решений о сопровождении инвестиционных проектов по принципу </w:t>
            </w:r>
            <w:r w:rsidR="006636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«одного окна» приведет </w:t>
            </w:r>
            <w:r w:rsidR="00507C7A">
              <w:rPr>
                <w:rFonts w:ascii="Times New Roman" w:hAnsi="Times New Roman"/>
                <w:sz w:val="24"/>
                <w:szCs w:val="24"/>
                <w:u w:val="single"/>
              </w:rPr>
              <w:t>создани</w:t>
            </w:r>
            <w:r w:rsidR="00B82C35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="00507C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82C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="00507C7A">
              <w:rPr>
                <w:rFonts w:ascii="Times New Roman" w:hAnsi="Times New Roman"/>
                <w:sz w:val="24"/>
                <w:szCs w:val="24"/>
                <w:u w:val="single"/>
              </w:rPr>
              <w:t>благоприятных условий для ведения предпринимательской и инвестиционной деятельности</w:t>
            </w:r>
            <w:r w:rsidR="00B1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82C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  <w:r w:rsidR="00663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r w:rsidR="00B82C35" w:rsidRPr="00B82C35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Правительства Ханты-Мансийского автономного округа-Югры от 27.12.2013 №590-п «О регламенте по сопровождению инвестиционных проектов в Ханты-Мансийском автономном округе-</w:t>
            </w:r>
            <w:proofErr w:type="gramStart"/>
            <w:r w:rsidR="00B82C35" w:rsidRPr="00B82C35">
              <w:rPr>
                <w:rFonts w:ascii="Times New Roman" w:hAnsi="Times New Roman"/>
                <w:sz w:val="24"/>
                <w:szCs w:val="24"/>
                <w:u w:val="single"/>
              </w:rPr>
              <w:t>Югре</w:t>
            </w:r>
            <w:r w:rsidR="00B82C35">
              <w:rPr>
                <w:rFonts w:ascii="Times New Roman" w:hAnsi="Times New Roman"/>
                <w:sz w:val="24"/>
                <w:szCs w:val="24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82C3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F75D8E" w:rsidRPr="00F75D8E" w:rsidRDefault="005D784C" w:rsidP="00F75D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75D8E" w:rsidRPr="00F75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Степень регулирующего воздействия проекта акта </w:t>
            </w:r>
            <w:r w:rsidR="00B82C35">
              <w:rPr>
                <w:rFonts w:ascii="Times New Roman" w:hAnsi="Times New Roman"/>
                <w:sz w:val="24"/>
                <w:szCs w:val="24"/>
                <w:u w:val="single"/>
              </w:rPr>
              <w:t>низкая</w:t>
            </w:r>
            <w:r w:rsidR="00F75D8E" w:rsidRPr="00F75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проект акта </w:t>
            </w:r>
            <w:r w:rsidR="00B82C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="00F75D8E" w:rsidRPr="00F75D8E">
              <w:rPr>
                <w:rFonts w:ascii="Times New Roman" w:hAnsi="Times New Roman"/>
                <w:sz w:val="24"/>
                <w:szCs w:val="24"/>
                <w:u w:val="single"/>
              </w:rPr>
      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      </w:r>
          </w:p>
          <w:p w:rsidR="005D784C" w:rsidRPr="009B1B6B" w:rsidRDefault="00446CDB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D784C" w:rsidRPr="009B1B6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1B6B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социально-экономического развития Ханты-Мансийского района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муниципальных программах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9B1B6B" w:rsidTr="005E5F49">
        <w:tc>
          <w:tcPr>
            <w:tcW w:w="460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225048" w:rsidRPr="009B1B6B" w:rsidTr="00225048">
        <w:trPr>
          <w:trHeight w:val="275"/>
        </w:trPr>
        <w:tc>
          <w:tcPr>
            <w:tcW w:w="4608" w:type="dxa"/>
            <w:shd w:val="clear" w:color="auto" w:fill="auto"/>
          </w:tcPr>
          <w:p w:rsidR="00225048" w:rsidRPr="009B1B6B" w:rsidRDefault="00921E99" w:rsidP="001354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барьеров, создание благоприятных условий для ведения предпринимательской и инвестиционной деятельности и реализации инвестиционных проектов по принципу «одного окна»</w:t>
            </w:r>
          </w:p>
        </w:tc>
        <w:tc>
          <w:tcPr>
            <w:tcW w:w="4680" w:type="dxa"/>
            <w:shd w:val="clear" w:color="auto" w:fill="auto"/>
          </w:tcPr>
          <w:p w:rsidR="00225048" w:rsidRPr="009B1B6B" w:rsidRDefault="00921E99" w:rsidP="008F5F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отношений возникающих в ходе подготовки и реализации инвестиционных проектов</w:t>
            </w:r>
          </w:p>
        </w:tc>
      </w:tr>
      <w:tr w:rsidR="005D784C" w:rsidRPr="009B1B6B" w:rsidTr="001B0ED3">
        <w:trPr>
          <w:trHeight w:val="2695"/>
        </w:trPr>
        <w:tc>
          <w:tcPr>
            <w:tcW w:w="9288" w:type="dxa"/>
            <w:gridSpan w:val="2"/>
            <w:shd w:val="clear" w:color="auto" w:fill="auto"/>
          </w:tcPr>
          <w:p w:rsidR="00203880" w:rsidRPr="009B1B6B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Ханты-Мансийского рай</w:t>
            </w:r>
            <w:r w:rsidR="008F4E3A" w:rsidRPr="009B1B6B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9B1B6B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CC0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инвестиционной</w:t>
            </w:r>
            <w:r w:rsidR="00D60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Устанавливаемое проектом регулирование нацелено на </w:t>
            </w:r>
            <w:r w:rsidR="00203880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создание условий для развития </w:t>
            </w:r>
            <w:r w:rsidR="00CC009A">
              <w:rPr>
                <w:rFonts w:ascii="Times New Roman" w:hAnsi="Times New Roman"/>
                <w:sz w:val="24"/>
                <w:szCs w:val="24"/>
                <w:u w:val="single"/>
              </w:rPr>
              <w:t>инвестиций</w:t>
            </w:r>
            <w:r w:rsidR="00D602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03880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Ханты-Мансийского района.</w:t>
            </w:r>
          </w:p>
          <w:p w:rsidR="005D784C" w:rsidRPr="009B1B6B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3.4. Иная информация о целях предлагаемого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285188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B1B6B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9B1B6B" w:rsidRDefault="00A51E2F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Предполагаемое правовое регулирование направлено на оказание информационной и консультационной поддержки реализации инвестиционного проекта при проведении подготовительных, согласительных и разрешительных процедур на территории Ханты-Мансийского района. Н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>егативных эффектов не выявлено</w:t>
            </w:r>
            <w:r w:rsidR="007D5A05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="001B0ED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9B1B6B" w:rsidRDefault="008A164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12065" t="6350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26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D60294" w:rsidRDefault="005D784C" w:rsidP="00D602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</w:pPr>
            <w:r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4.3. Обоснование выбора предлагаемого способа регулирования:</w:t>
            </w:r>
          </w:p>
          <w:p w:rsidR="00A51E2F" w:rsidRDefault="00D60294" w:rsidP="00D60294">
            <w:pPr>
              <w:pStyle w:val="a3"/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</w:pPr>
            <w:r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Учитыва</w:t>
            </w:r>
            <w:r w:rsidR="00774BDB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я положительный опыт реализации </w:t>
            </w:r>
            <w:r w:rsidR="00774BDB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774BDB"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уровне Ханты-Мансийского автономного округа – Югры </w:t>
            </w:r>
            <w:r w:rsidR="00774BDB">
              <w:rPr>
                <w:rFonts w:ascii="Times New Roman" w:hAnsi="Times New Roman"/>
                <w:sz w:val="24"/>
                <w:szCs w:val="24"/>
                <w:u w:val="single"/>
              </w:rPr>
              <w:t>принято постановления Правительства ХМАО-Югры от 27.12.2013 №590-п «О регламенте по сопровождению инвестиционных проектов в Ханты-Мансийском автономном округе-Югре»,</w:t>
            </w:r>
            <w:r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предлагаемый метод регулирования  является наиболее совершенным и не устанавливает излишних барьеров для субъектов предпринимательской и инвестиционной деятельности, а также не влечет необоснованных расходов из бюджета Ханты-Мансийского района</w:t>
            </w:r>
            <w:r w:rsidR="00774BDB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._________________</w:t>
            </w:r>
            <w:r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5D784C" w:rsidRPr="00D60294" w:rsidRDefault="005D784C" w:rsidP="00A51E2F">
            <w:pPr>
              <w:pStyle w:val="a3"/>
              <w:ind w:left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</w:pPr>
            <w:r w:rsidRPr="00A51E2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51E2F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A51E2F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B0ED3" w:rsidRDefault="001B0ED3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1B6B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C566E" w:rsidRDefault="005C566E" w:rsidP="005C5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Субъекты и</w:t>
            </w:r>
            <w:r w:rsidR="00774BDB">
              <w:rPr>
                <w:rFonts w:ascii="Times New Roman" w:hAnsi="Times New Roman"/>
                <w:sz w:val="24"/>
                <w:szCs w:val="24"/>
                <w:u w:val="single"/>
              </w:rPr>
              <w:t>нвест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иционной деятельности </w:t>
            </w:r>
            <w:r w:rsidR="00D60294" w:rsidRPr="00E94CCE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</w:t>
            </w:r>
            <w:r w:rsidR="00774BDB">
              <w:rPr>
                <w:rFonts w:ascii="Times New Roman" w:hAnsi="Times New Roman"/>
                <w:sz w:val="24"/>
                <w:szCs w:val="24"/>
                <w:u w:val="single"/>
              </w:rPr>
              <w:t>ого</w:t>
            </w:r>
            <w:r w:rsidR="00D602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D60294" w:rsidRPr="00E94CCE">
              <w:rPr>
                <w:rFonts w:ascii="Times New Roman" w:hAnsi="Times New Roman"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а._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774B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5C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F17E5C" w:rsidRPr="00F17E5C" w:rsidRDefault="00F17E5C" w:rsidP="00F17E5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E5C">
              <w:rPr>
                <w:rFonts w:ascii="Times New Roman" w:hAnsi="Times New Roman"/>
                <w:sz w:val="24"/>
                <w:szCs w:val="24"/>
                <w:u w:val="single"/>
              </w:rPr>
              <w:t>Срок принятия решения о сопровождении инвестиционного проекта.</w:t>
            </w:r>
          </w:p>
          <w:p w:rsidR="005D784C" w:rsidRPr="009B1B6B" w:rsidRDefault="005D784C" w:rsidP="00F17E5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5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17E5C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F17E5C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B1B6B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предпринимательской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и инвестиционной деятельности, связанных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необходимостью соблюдения устанавливаемых (изменяемых)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5D784C" w:rsidRPr="009B1B6B" w:rsidTr="005E5F49">
        <w:tc>
          <w:tcPr>
            <w:tcW w:w="336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9B1B6B" w:rsidTr="005E5F4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216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34BD4">
        <w:trPr>
          <w:trHeight w:val="270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E5F49">
        <w:trPr>
          <w:trHeight w:val="300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34BD4">
        <w:trPr>
          <w:trHeight w:val="235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309" w:rsidRPr="009B1B6B" w:rsidTr="005E5F49">
        <w:trPr>
          <w:trHeight w:val="206"/>
        </w:trPr>
        <w:tc>
          <w:tcPr>
            <w:tcW w:w="9288" w:type="dxa"/>
            <w:gridSpan w:val="3"/>
            <w:shd w:val="clear" w:color="auto" w:fill="auto"/>
          </w:tcPr>
          <w:p w:rsidR="00A23309" w:rsidRPr="009B1B6B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9B1B6B" w:rsidTr="00A23309">
        <w:trPr>
          <w:trHeight w:val="387"/>
        </w:trPr>
        <w:tc>
          <w:tcPr>
            <w:tcW w:w="3369" w:type="dxa"/>
            <w:vMerge w:val="restart"/>
            <w:shd w:val="clear" w:color="auto" w:fill="auto"/>
          </w:tcPr>
          <w:p w:rsidR="00A23309" w:rsidRPr="009B1B6B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9" w:rsidRPr="009B1B6B" w:rsidTr="00A23309">
        <w:trPr>
          <w:trHeight w:val="401"/>
        </w:trPr>
        <w:tc>
          <w:tcPr>
            <w:tcW w:w="3369" w:type="dxa"/>
            <w:vMerge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EB673C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9B1B6B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9B1B6B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</w:t>
            </w:r>
            <w:r w:rsidRPr="00EB673C">
              <w:rPr>
                <w:rFonts w:ascii="Times New Roman" w:hAnsi="Times New Roman"/>
                <w:sz w:val="24"/>
                <w:szCs w:val="24"/>
                <w:u w:val="single"/>
              </w:rPr>
              <w:t>предусмотрено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</w:t>
            </w:r>
            <w:r w:rsidR="000F7864" w:rsidRPr="009B1B6B">
              <w:rPr>
                <w:rFonts w:ascii="Times New Roman" w:hAnsi="Times New Roman"/>
                <w:sz w:val="24"/>
                <w:szCs w:val="24"/>
              </w:rPr>
              <w:t>4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 </w:t>
            </w:r>
            <w:r w:rsidR="00EB673C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Оценка дополнительных расходов проведена с применением калькулятора изде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ржек дополнительных расходов не </w:t>
            </w:r>
            <w:proofErr w:type="gramStart"/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>ыявлено</w:t>
            </w:r>
            <w:r w:rsidR="00F17E5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__</w:t>
            </w:r>
            <w:r w:rsidR="00EB673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9B1B6B">
        <w:rPr>
          <w:rFonts w:ascii="Times New Roman" w:hAnsi="Times New Roman"/>
          <w:b/>
          <w:sz w:val="28"/>
          <w:szCs w:val="24"/>
        </w:rPr>
        <w:t xml:space="preserve">. </w:t>
      </w:r>
      <w:r w:rsidRPr="00FE509D">
        <w:rPr>
          <w:rFonts w:ascii="Times New Roman" w:hAnsi="Times New Roman"/>
          <w:b/>
          <w:sz w:val="28"/>
          <w:szCs w:val="24"/>
        </w:rPr>
        <w:t>Индикативные</w:t>
      </w:r>
      <w:r w:rsidRPr="009B1B6B">
        <w:rPr>
          <w:rFonts w:ascii="Times New Roman" w:hAnsi="Times New Roman"/>
          <w:b/>
          <w:sz w:val="28"/>
          <w:szCs w:val="24"/>
        </w:rPr>
        <w:t xml:space="preserve"> показатели мониторинга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2139"/>
        <w:gridCol w:w="2221"/>
      </w:tblGrid>
      <w:tr w:rsidR="005D784C" w:rsidRPr="009B1B6B" w:rsidTr="00A44F00">
        <w:tc>
          <w:tcPr>
            <w:tcW w:w="222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9B1B6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89092F" w:rsidRPr="00E94CCE" w:rsidTr="007021A2">
        <w:trPr>
          <w:trHeight w:val="1400"/>
        </w:trPr>
        <w:tc>
          <w:tcPr>
            <w:tcW w:w="222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89092F" w:rsidRPr="00E94CCE" w:rsidRDefault="0089092F" w:rsidP="002028A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r w:rsidR="002028AD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на территории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89092F" w:rsidRPr="00E94CCE" w:rsidRDefault="002028AD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принятия решения о сопровождении инвестиционного проекта</w:t>
            </w:r>
            <w:r w:rsidR="0089092F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</w:tcPr>
          <w:p w:rsidR="0089092F" w:rsidRPr="00E94CCE" w:rsidRDefault="002028AD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2221" w:type="dxa"/>
            <w:shd w:val="clear" w:color="auto" w:fill="auto"/>
          </w:tcPr>
          <w:p w:rsidR="0089092F" w:rsidRPr="00E94CCE" w:rsidRDefault="002028AD" w:rsidP="001B0ED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B0ED3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89092F" w:rsidRPr="00E94CCE" w:rsidTr="007021A2">
        <w:tc>
          <w:tcPr>
            <w:tcW w:w="9288" w:type="dxa"/>
            <w:gridSpan w:val="4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89092F" w:rsidRPr="00E94CCE" w:rsidRDefault="0089092F" w:rsidP="0070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Ежеквартальный, ежегодный мониторинг </w:t>
            </w:r>
            <w:r w:rsidR="001B0ED3">
              <w:rPr>
                <w:rFonts w:ascii="Times New Roman" w:hAnsi="Times New Roman"/>
                <w:sz w:val="24"/>
                <w:szCs w:val="24"/>
                <w:u w:val="single"/>
              </w:rPr>
              <w:t>исполнения регламента сопровождения инвестиционных проектов в Ханты-Мансийском районе по принципу «одного окна».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  <w:r w:rsidR="001B0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1B0ED3" w:rsidRPr="00E94CCE" w:rsidTr="00492E89">
        <w:trPr>
          <w:trHeight w:val="818"/>
        </w:trPr>
        <w:tc>
          <w:tcPr>
            <w:tcW w:w="9288" w:type="dxa"/>
            <w:gridSpan w:val="4"/>
            <w:shd w:val="clear" w:color="auto" w:fill="auto"/>
          </w:tcPr>
          <w:p w:rsidR="001B0ED3" w:rsidRDefault="001B0ED3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7.6. Оценка затрат на осуществление мониторинга (в среднем в год)</w:t>
            </w:r>
          </w:p>
          <w:p w:rsidR="001B0ED3" w:rsidRDefault="001B0ED3" w:rsidP="001B0E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ED3">
              <w:rPr>
                <w:rFonts w:ascii="Times New Roman" w:hAnsi="Times New Roman"/>
                <w:sz w:val="24"/>
                <w:szCs w:val="24"/>
                <w:u w:val="single"/>
              </w:rPr>
              <w:t>Затраты на проведение мониторинга не требуются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:rsidR="001B0ED3" w:rsidRPr="001B0ED3" w:rsidRDefault="001B0ED3" w:rsidP="001B0ED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89092F" w:rsidRPr="00E94CCE" w:rsidTr="007021A2">
        <w:tc>
          <w:tcPr>
            <w:tcW w:w="9288" w:type="dxa"/>
            <w:gridSpan w:val="4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89092F" w:rsidRPr="00E94CCE" w:rsidRDefault="0089092F" w:rsidP="0070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Данные Федеральной службы государственной статистики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,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9092F" w:rsidRPr="00E94CCE" w:rsidRDefault="0089092F" w:rsidP="001B0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9B1B6B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Дата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Руководитель регулирующего органа ________________    _________________________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B1B6B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9B1B6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B1B6B">
        <w:rPr>
          <w:rFonts w:ascii="Times New Roman" w:hAnsi="Times New Roman"/>
          <w:i/>
          <w:sz w:val="20"/>
          <w:szCs w:val="20"/>
        </w:rPr>
        <w:t>(подпись)                           (инициалы, фамилия)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9B1B6B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B1B6B">
        <w:rPr>
          <w:rFonts w:ascii="Times New Roman" w:hAnsi="Times New Roman"/>
          <w:sz w:val="20"/>
          <w:szCs w:val="20"/>
          <w:vertAlign w:val="superscript"/>
        </w:rPr>
        <w:t>1</w:t>
      </w:r>
      <w:r w:rsidRPr="009B1B6B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9B1B6B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9B1B6B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9B1B6B">
        <w:rPr>
          <w:rFonts w:ascii="Times New Roman" w:hAnsi="Times New Roman"/>
          <w:sz w:val="20"/>
          <w:szCs w:val="20"/>
        </w:rPr>
        <w:t>.</w:t>
      </w:r>
    </w:p>
    <w:p w:rsidR="005E5F49" w:rsidRPr="009B1B6B" w:rsidRDefault="005E5F49"/>
    <w:sectPr w:rsidR="005E5F49" w:rsidRPr="009B1B6B" w:rsidSect="001B0ED3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F28A3"/>
    <w:multiLevelType w:val="multilevel"/>
    <w:tmpl w:val="72DE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C"/>
    <w:rsid w:val="000223D3"/>
    <w:rsid w:val="00022A25"/>
    <w:rsid w:val="000B378B"/>
    <w:rsid w:val="000F52EA"/>
    <w:rsid w:val="000F7864"/>
    <w:rsid w:val="00134DB0"/>
    <w:rsid w:val="00135461"/>
    <w:rsid w:val="00135C45"/>
    <w:rsid w:val="00160742"/>
    <w:rsid w:val="0018602B"/>
    <w:rsid w:val="001B0ED3"/>
    <w:rsid w:val="001B58F9"/>
    <w:rsid w:val="001C79AD"/>
    <w:rsid w:val="002028AD"/>
    <w:rsid w:val="00203880"/>
    <w:rsid w:val="00206F44"/>
    <w:rsid w:val="00216435"/>
    <w:rsid w:val="00225048"/>
    <w:rsid w:val="00226287"/>
    <w:rsid w:val="002319B4"/>
    <w:rsid w:val="00236412"/>
    <w:rsid w:val="002736B7"/>
    <w:rsid w:val="00285188"/>
    <w:rsid w:val="00291DB9"/>
    <w:rsid w:val="0032195C"/>
    <w:rsid w:val="00367DB6"/>
    <w:rsid w:val="003720CD"/>
    <w:rsid w:val="00392D1E"/>
    <w:rsid w:val="003C5387"/>
    <w:rsid w:val="003D50C0"/>
    <w:rsid w:val="003E0584"/>
    <w:rsid w:val="004021C7"/>
    <w:rsid w:val="0040479E"/>
    <w:rsid w:val="00446CDB"/>
    <w:rsid w:val="004629B9"/>
    <w:rsid w:val="00496F90"/>
    <w:rsid w:val="004B3769"/>
    <w:rsid w:val="004C4372"/>
    <w:rsid w:val="00507C7A"/>
    <w:rsid w:val="00534BD4"/>
    <w:rsid w:val="00536A36"/>
    <w:rsid w:val="005C3D8C"/>
    <w:rsid w:val="005C566E"/>
    <w:rsid w:val="005D784C"/>
    <w:rsid w:val="005E5F49"/>
    <w:rsid w:val="005E5FE4"/>
    <w:rsid w:val="00614870"/>
    <w:rsid w:val="00663643"/>
    <w:rsid w:val="00674692"/>
    <w:rsid w:val="006E27EF"/>
    <w:rsid w:val="00766E91"/>
    <w:rsid w:val="00774BDB"/>
    <w:rsid w:val="007977DD"/>
    <w:rsid w:val="007D5A05"/>
    <w:rsid w:val="007E181C"/>
    <w:rsid w:val="007F3F1D"/>
    <w:rsid w:val="00802952"/>
    <w:rsid w:val="00836BC6"/>
    <w:rsid w:val="0084692B"/>
    <w:rsid w:val="0089092F"/>
    <w:rsid w:val="008A1643"/>
    <w:rsid w:val="008F13F7"/>
    <w:rsid w:val="008F49FB"/>
    <w:rsid w:val="008F4E3A"/>
    <w:rsid w:val="008F5FF3"/>
    <w:rsid w:val="0090421F"/>
    <w:rsid w:val="00921E99"/>
    <w:rsid w:val="00925C39"/>
    <w:rsid w:val="009332C3"/>
    <w:rsid w:val="00983DD9"/>
    <w:rsid w:val="00985043"/>
    <w:rsid w:val="009A5233"/>
    <w:rsid w:val="009A6265"/>
    <w:rsid w:val="009B1B6B"/>
    <w:rsid w:val="00A23309"/>
    <w:rsid w:val="00A3216C"/>
    <w:rsid w:val="00A44F00"/>
    <w:rsid w:val="00A51794"/>
    <w:rsid w:val="00A51E2F"/>
    <w:rsid w:val="00A768D9"/>
    <w:rsid w:val="00A935BE"/>
    <w:rsid w:val="00A93A01"/>
    <w:rsid w:val="00B1541F"/>
    <w:rsid w:val="00B7753B"/>
    <w:rsid w:val="00B82C35"/>
    <w:rsid w:val="00BB4266"/>
    <w:rsid w:val="00C1344B"/>
    <w:rsid w:val="00CC009A"/>
    <w:rsid w:val="00D37102"/>
    <w:rsid w:val="00D60294"/>
    <w:rsid w:val="00DE458D"/>
    <w:rsid w:val="00DF6C0C"/>
    <w:rsid w:val="00E511F3"/>
    <w:rsid w:val="00E60830"/>
    <w:rsid w:val="00E760C0"/>
    <w:rsid w:val="00E77246"/>
    <w:rsid w:val="00E87D8E"/>
    <w:rsid w:val="00EB673C"/>
    <w:rsid w:val="00EF2A1F"/>
    <w:rsid w:val="00F00059"/>
    <w:rsid w:val="00F11509"/>
    <w:rsid w:val="00F17E5C"/>
    <w:rsid w:val="00F2257E"/>
    <w:rsid w:val="00F56A2C"/>
    <w:rsid w:val="00F61034"/>
    <w:rsid w:val="00F75D8E"/>
    <w:rsid w:val="00FA0CC5"/>
    <w:rsid w:val="00FA7A52"/>
    <w:rsid w:val="00FB0303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5F45-A092-4E85-8EA4-0879D16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B"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1DD-1F8D-4EFB-8A78-F08E4C90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10</cp:revision>
  <cp:lastPrinted>2017-07-18T06:01:00Z</cp:lastPrinted>
  <dcterms:created xsi:type="dcterms:W3CDTF">2017-06-13T09:37:00Z</dcterms:created>
  <dcterms:modified xsi:type="dcterms:W3CDTF">2017-07-18T06:02:00Z</dcterms:modified>
</cp:coreProperties>
</file>